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592AA" w14:textId="77777777" w:rsidR="00463757" w:rsidRPr="00210646" w:rsidRDefault="008271A7" w:rsidP="00210646">
      <w:pPr>
        <w:spacing w:line="360" w:lineRule="auto"/>
        <w:jc w:val="center"/>
        <w:rPr>
          <w:b/>
          <w:sz w:val="32"/>
          <w:szCs w:val="32"/>
        </w:rPr>
      </w:pPr>
      <w:r w:rsidRPr="00210646">
        <w:rPr>
          <w:b/>
          <w:sz w:val="32"/>
          <w:szCs w:val="32"/>
        </w:rPr>
        <w:t>GERIATRIC ONCOLOGY ACTIVITY IN ITALY 2015.</w:t>
      </w:r>
    </w:p>
    <w:p w14:paraId="0D887055" w14:textId="77777777" w:rsidR="00463757" w:rsidRPr="00463757" w:rsidRDefault="00463757" w:rsidP="004E0BDD">
      <w:pPr>
        <w:spacing w:line="360" w:lineRule="auto"/>
        <w:jc w:val="both"/>
        <w:rPr>
          <w:lang w:val="en-US"/>
        </w:rPr>
      </w:pPr>
    </w:p>
    <w:p w14:paraId="464A27EC" w14:textId="77777777" w:rsidR="005B1CD8" w:rsidRPr="005B1CD8" w:rsidRDefault="005B1CD8" w:rsidP="004E0BDD">
      <w:pPr>
        <w:spacing w:line="360" w:lineRule="auto"/>
        <w:jc w:val="both"/>
        <w:rPr>
          <w:i/>
          <w:u w:val="single"/>
          <w:lang w:val="en-US"/>
        </w:rPr>
      </w:pPr>
      <w:r>
        <w:rPr>
          <w:i/>
          <w:u w:val="single"/>
          <w:lang w:val="en-US"/>
        </w:rPr>
        <w:t>Clinical activity:</w:t>
      </w:r>
    </w:p>
    <w:p w14:paraId="25EA67AC" w14:textId="77777777" w:rsidR="005B1CD8" w:rsidRDefault="005B1CD8" w:rsidP="004E0BDD">
      <w:pPr>
        <w:spacing w:line="360" w:lineRule="auto"/>
        <w:jc w:val="both"/>
        <w:rPr>
          <w:lang w:val="en-US"/>
        </w:rPr>
      </w:pPr>
    </w:p>
    <w:p w14:paraId="2C97EA48" w14:textId="77777777" w:rsidR="00D070E6" w:rsidRDefault="00463757" w:rsidP="004E0BDD">
      <w:pPr>
        <w:spacing w:line="360" w:lineRule="auto"/>
        <w:jc w:val="both"/>
        <w:rPr>
          <w:lang w:val="en-US"/>
        </w:rPr>
      </w:pPr>
      <w:r w:rsidRPr="00463757">
        <w:rPr>
          <w:lang w:val="en-US"/>
        </w:rPr>
        <w:t>The Italian Group of Geriatric Oncology is the point of reference for geriatric oncology in Italy. The new website is available (</w:t>
      </w:r>
      <w:r w:rsidR="004E0BDD">
        <w:rPr>
          <w:lang w:val="en-US"/>
        </w:rPr>
        <w:t>www.</w:t>
      </w:r>
      <w:r w:rsidRPr="00463757">
        <w:rPr>
          <w:lang w:val="en-US"/>
        </w:rPr>
        <w:t xml:space="preserve">Gioger.org).  </w:t>
      </w:r>
    </w:p>
    <w:p w14:paraId="5B0399DB" w14:textId="77777777" w:rsidR="00463757" w:rsidRDefault="00463757" w:rsidP="004E0BDD">
      <w:pPr>
        <w:spacing w:line="360" w:lineRule="auto"/>
        <w:jc w:val="both"/>
        <w:rPr>
          <w:lang w:val="en-US"/>
        </w:rPr>
      </w:pPr>
    </w:p>
    <w:p w14:paraId="34324E43" w14:textId="77777777" w:rsidR="00463757" w:rsidRDefault="00463757" w:rsidP="004E0BD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Two clinical trials </w:t>
      </w:r>
      <w:r w:rsidR="004E0BDD">
        <w:rPr>
          <w:lang w:val="en-US"/>
        </w:rPr>
        <w:t xml:space="preserve">endorsed by GIOGER </w:t>
      </w:r>
      <w:r>
        <w:rPr>
          <w:lang w:val="en-US"/>
        </w:rPr>
        <w:t>are currently running:</w:t>
      </w:r>
    </w:p>
    <w:p w14:paraId="08F122CE" w14:textId="77777777" w:rsidR="00463757" w:rsidRPr="005B1CD8" w:rsidRDefault="00463757" w:rsidP="005B1CD8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5B1CD8">
        <w:rPr>
          <w:lang w:val="en-US"/>
        </w:rPr>
        <w:t xml:space="preserve">ERIBE trial and explores the feasibility of </w:t>
      </w:r>
      <w:proofErr w:type="spellStart"/>
      <w:r w:rsidRPr="005B1CD8">
        <w:rPr>
          <w:lang w:val="en-US"/>
        </w:rPr>
        <w:t>Eribulin</w:t>
      </w:r>
      <w:proofErr w:type="spellEnd"/>
      <w:r w:rsidRPr="005B1CD8">
        <w:rPr>
          <w:lang w:val="en-US"/>
        </w:rPr>
        <w:t xml:space="preserve"> in elderly breast cancer patients.</w:t>
      </w:r>
    </w:p>
    <w:p w14:paraId="25D0F0BC" w14:textId="77777777" w:rsidR="00463757" w:rsidRPr="005B1CD8" w:rsidRDefault="00463757" w:rsidP="005B1CD8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5B1CD8">
        <w:rPr>
          <w:lang w:val="en-US"/>
        </w:rPr>
        <w:t>WECaBe</w:t>
      </w:r>
      <w:proofErr w:type="spellEnd"/>
      <w:r w:rsidRPr="005B1CD8">
        <w:rPr>
          <w:lang w:val="en-US"/>
        </w:rPr>
        <w:t xml:space="preserve"> and explore the feasibility and activity of weekly </w:t>
      </w:r>
      <w:proofErr w:type="spellStart"/>
      <w:r w:rsidRPr="005B1CD8">
        <w:rPr>
          <w:lang w:val="en-US"/>
        </w:rPr>
        <w:t>cabazitaxel</w:t>
      </w:r>
      <w:proofErr w:type="spellEnd"/>
      <w:r w:rsidRPr="005B1CD8">
        <w:rPr>
          <w:lang w:val="en-US"/>
        </w:rPr>
        <w:t xml:space="preserve"> in elderly prostate cancer patients</w:t>
      </w:r>
    </w:p>
    <w:p w14:paraId="5BB0231A" w14:textId="77777777" w:rsidR="00463757" w:rsidRDefault="00463757" w:rsidP="004E0BDD">
      <w:pPr>
        <w:spacing w:line="360" w:lineRule="auto"/>
        <w:jc w:val="both"/>
        <w:rPr>
          <w:lang w:val="en-US"/>
        </w:rPr>
      </w:pPr>
    </w:p>
    <w:p w14:paraId="0F3F8F3D" w14:textId="77777777" w:rsidR="00463757" w:rsidRDefault="00463757" w:rsidP="004E0BDD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Dott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Biganzoli</w:t>
      </w:r>
      <w:proofErr w:type="spellEnd"/>
      <w:r>
        <w:rPr>
          <w:lang w:val="en-US"/>
        </w:rPr>
        <w:t xml:space="preserve"> from Prato is the coordinator of a clinical trial named “GIVE” that explores the role of geriatric intervention on chemother</w:t>
      </w:r>
      <w:r w:rsidR="004E0BDD">
        <w:rPr>
          <w:lang w:val="en-US"/>
        </w:rPr>
        <w:t>apy feasibility in elderly pati</w:t>
      </w:r>
      <w:r>
        <w:rPr>
          <w:lang w:val="en-US"/>
        </w:rPr>
        <w:t>e</w:t>
      </w:r>
      <w:r w:rsidR="004E0BDD">
        <w:rPr>
          <w:lang w:val="en-US"/>
        </w:rPr>
        <w:t>n</w:t>
      </w:r>
      <w:r>
        <w:rPr>
          <w:lang w:val="en-US"/>
        </w:rPr>
        <w:t xml:space="preserve">ts with </w:t>
      </w:r>
      <w:r w:rsidR="004E0BDD">
        <w:rPr>
          <w:lang w:val="en-US"/>
        </w:rPr>
        <w:t>m</w:t>
      </w:r>
      <w:r>
        <w:rPr>
          <w:lang w:val="en-US"/>
        </w:rPr>
        <w:t>etastatic solid tumors.</w:t>
      </w:r>
    </w:p>
    <w:p w14:paraId="1466D521" w14:textId="77777777" w:rsidR="00463757" w:rsidRDefault="00463757" w:rsidP="004E0BDD">
      <w:pPr>
        <w:spacing w:line="360" w:lineRule="auto"/>
        <w:jc w:val="both"/>
        <w:rPr>
          <w:lang w:val="en-US"/>
        </w:rPr>
      </w:pPr>
    </w:p>
    <w:p w14:paraId="480B0EC8" w14:textId="77777777" w:rsidR="00463757" w:rsidRDefault="00463757" w:rsidP="004E0BDD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Humanitas</w:t>
      </w:r>
      <w:proofErr w:type="spellEnd"/>
      <w:r>
        <w:rPr>
          <w:lang w:val="en-US"/>
        </w:rPr>
        <w:t xml:space="preserve"> Cancer Center </w:t>
      </w:r>
      <w:r w:rsidR="004E0BDD">
        <w:rPr>
          <w:lang w:val="en-US"/>
        </w:rPr>
        <w:t>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Rozzano</w:t>
      </w:r>
      <w:proofErr w:type="spellEnd"/>
      <w:r>
        <w:rPr>
          <w:lang w:val="en-US"/>
        </w:rPr>
        <w:t xml:space="preserve"> (Milan) </w:t>
      </w:r>
      <w:r w:rsidR="004E0BDD">
        <w:rPr>
          <w:lang w:val="en-US"/>
        </w:rPr>
        <w:t xml:space="preserve">(in which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mutimorbidity</w:t>
      </w:r>
      <w:proofErr w:type="spellEnd"/>
      <w:r>
        <w:rPr>
          <w:lang w:val="en-US"/>
        </w:rPr>
        <w:t xml:space="preserve"> outpatient clinic is currently active</w:t>
      </w:r>
      <w:r w:rsidR="004E0BDD">
        <w:rPr>
          <w:lang w:val="en-US"/>
        </w:rPr>
        <w:t>)</w:t>
      </w:r>
      <w:r>
        <w:rPr>
          <w:lang w:val="en-US"/>
        </w:rPr>
        <w:t xml:space="preserve"> is going to activate a geriatric oncology program in the next months.</w:t>
      </w:r>
    </w:p>
    <w:p w14:paraId="6B42E68B" w14:textId="77777777" w:rsidR="004E0BDD" w:rsidRDefault="004E0BDD" w:rsidP="004E0BDD">
      <w:pPr>
        <w:spacing w:line="360" w:lineRule="auto"/>
        <w:jc w:val="both"/>
        <w:rPr>
          <w:lang w:val="en-US"/>
        </w:rPr>
      </w:pPr>
    </w:p>
    <w:p w14:paraId="0093652D" w14:textId="77777777" w:rsidR="004E0BDD" w:rsidRDefault="004E0BDD" w:rsidP="004E0BDD">
      <w:pPr>
        <w:spacing w:line="360" w:lineRule="auto"/>
        <w:jc w:val="both"/>
        <w:rPr>
          <w:lang w:val="en-US"/>
        </w:rPr>
      </w:pPr>
    </w:p>
    <w:p w14:paraId="319D1A6F" w14:textId="77777777" w:rsidR="004E0BDD" w:rsidRPr="008271A7" w:rsidRDefault="004E0BDD" w:rsidP="004E0BDD">
      <w:pPr>
        <w:spacing w:line="360" w:lineRule="auto"/>
        <w:jc w:val="both"/>
        <w:rPr>
          <w:i/>
          <w:u w:val="single"/>
          <w:lang w:val="en-US"/>
        </w:rPr>
      </w:pPr>
      <w:r w:rsidRPr="008271A7">
        <w:rPr>
          <w:i/>
          <w:u w:val="single"/>
          <w:lang w:val="en-US"/>
        </w:rPr>
        <w:t>2015 Congress on geriatric oncology:</w:t>
      </w:r>
    </w:p>
    <w:p w14:paraId="730BD8CF" w14:textId="77777777" w:rsidR="004E0BDD" w:rsidRDefault="004E0BDD" w:rsidP="004E0BDD">
      <w:pPr>
        <w:pStyle w:val="Default"/>
        <w:spacing w:line="360" w:lineRule="auto"/>
        <w:rPr>
          <w:rFonts w:cs="Times New Roman"/>
          <w:color w:val="auto"/>
        </w:rPr>
      </w:pPr>
    </w:p>
    <w:p w14:paraId="2889634A" w14:textId="77777777" w:rsid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 w:rsidRPr="004E0BDD">
        <w:rPr>
          <w:rFonts w:asciiTheme="minorHAnsi" w:hAnsiTheme="minorHAnsi" w:cstheme="minorBidi"/>
          <w:lang w:val="en-US"/>
        </w:rPr>
        <w:t xml:space="preserve">GRANDANGOLO 2015 </w:t>
      </w:r>
    </w:p>
    <w:p w14:paraId="39B2E746" w14:textId="77777777" w:rsidR="004E0BDD" w:rsidRP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 w:rsidRPr="004E0BDD">
        <w:rPr>
          <w:rFonts w:asciiTheme="minorHAnsi" w:hAnsiTheme="minorHAnsi" w:cstheme="minorBidi"/>
          <w:b/>
          <w:bCs/>
          <w:lang w:val="en-US"/>
        </w:rPr>
        <w:t xml:space="preserve">TUMORI DELL’ANZIANO E CANCER SURVIVORS </w:t>
      </w:r>
    </w:p>
    <w:p w14:paraId="1F5F36A8" w14:textId="77777777" w:rsidR="004E0BDD" w:rsidRP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 w:rsidRPr="004E0BDD">
        <w:rPr>
          <w:rFonts w:asciiTheme="minorHAnsi" w:hAnsiTheme="minorHAnsi" w:cstheme="minorBidi"/>
          <w:b/>
          <w:bCs/>
          <w:lang w:val="en-US"/>
        </w:rPr>
        <w:t>IN ONCOLOGIA ED EMATOLOGIA</w:t>
      </w:r>
    </w:p>
    <w:p w14:paraId="22C096C9" w14:textId="77777777" w:rsid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 w:rsidRPr="004E0BDD">
        <w:rPr>
          <w:rFonts w:asciiTheme="minorHAnsi" w:hAnsiTheme="minorHAnsi" w:cstheme="minorBidi"/>
          <w:lang w:val="en-US"/>
        </w:rPr>
        <w:t>MILANO, 20-21 APRILE 2015</w:t>
      </w:r>
    </w:p>
    <w:p w14:paraId="516568FF" w14:textId="77777777" w:rsidR="004E0BDD" w:rsidRDefault="004E0BDD" w:rsidP="004E0BDD">
      <w:pPr>
        <w:pStyle w:val="Default"/>
        <w:spacing w:line="360" w:lineRule="auto"/>
      </w:pPr>
    </w:p>
    <w:p w14:paraId="3A79DF85" w14:textId="77777777" w:rsidR="004E0BDD" w:rsidRP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 xml:space="preserve">IV CONGRESSO NAZIONALE </w:t>
      </w:r>
      <w:proofErr w:type="spellStart"/>
      <w:r w:rsidRPr="004E0BDD">
        <w:rPr>
          <w:rFonts w:asciiTheme="minorHAnsi" w:hAnsiTheme="minorHAnsi" w:cstheme="minorBidi"/>
          <w:lang w:val="en-US"/>
        </w:rPr>
        <w:t>GIOGer</w:t>
      </w:r>
      <w:proofErr w:type="spellEnd"/>
    </w:p>
    <w:p w14:paraId="7080C5D5" w14:textId="77777777" w:rsid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 w:rsidRPr="004E0BDD">
        <w:rPr>
          <w:rFonts w:asciiTheme="minorHAnsi" w:hAnsiTheme="minorHAnsi" w:cstheme="minorBidi"/>
          <w:lang w:val="en-US"/>
        </w:rPr>
        <w:t xml:space="preserve">L’invecchiamento </w:t>
      </w:r>
      <w:proofErr w:type="spellStart"/>
      <w:proofErr w:type="gramStart"/>
      <w:r w:rsidRPr="004E0BDD">
        <w:rPr>
          <w:rFonts w:asciiTheme="minorHAnsi" w:hAnsiTheme="minorHAnsi" w:cstheme="minorBidi"/>
          <w:lang w:val="en-US"/>
        </w:rPr>
        <w:t>della</w:t>
      </w:r>
      <w:proofErr w:type="spellEnd"/>
      <w:proofErr w:type="gramEnd"/>
      <w:r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4E0BDD">
        <w:rPr>
          <w:rFonts w:asciiTheme="minorHAnsi" w:hAnsiTheme="minorHAnsi" w:cstheme="minorBidi"/>
          <w:lang w:val="en-US"/>
        </w:rPr>
        <w:t>popolazione</w:t>
      </w:r>
      <w:proofErr w:type="spellEnd"/>
      <w:r w:rsidRPr="004E0BDD">
        <w:rPr>
          <w:rFonts w:asciiTheme="minorHAnsi" w:hAnsiTheme="minorHAnsi" w:cstheme="minorBidi"/>
          <w:lang w:val="en-US"/>
        </w:rPr>
        <w:t xml:space="preserve">, </w:t>
      </w:r>
      <w:proofErr w:type="spellStart"/>
      <w:r w:rsidRPr="004E0BDD">
        <w:rPr>
          <w:rFonts w:asciiTheme="minorHAnsi" w:hAnsiTheme="minorHAnsi" w:cstheme="minorBidi"/>
          <w:lang w:val="en-US"/>
        </w:rPr>
        <w:t>un’emergenza</w:t>
      </w:r>
      <w:proofErr w:type="spellEnd"/>
      <w:r>
        <w:rPr>
          <w:rFonts w:asciiTheme="minorHAnsi" w:hAnsiTheme="minorHAnsi" w:cstheme="minorBidi"/>
          <w:lang w:val="en-US"/>
        </w:rPr>
        <w:t xml:space="preserve"> </w:t>
      </w:r>
      <w:r w:rsidRPr="004E0BDD">
        <w:rPr>
          <w:rFonts w:asciiTheme="minorHAnsi" w:hAnsiTheme="minorHAnsi" w:cstheme="minorBidi"/>
          <w:lang w:val="en-US"/>
        </w:rPr>
        <w:t xml:space="preserve">in ambito </w:t>
      </w:r>
      <w:proofErr w:type="spellStart"/>
      <w:r w:rsidRPr="004E0BDD">
        <w:rPr>
          <w:rFonts w:asciiTheme="minorHAnsi" w:hAnsiTheme="minorHAnsi" w:cstheme="minorBidi"/>
          <w:lang w:val="en-US"/>
        </w:rPr>
        <w:t>oncologico</w:t>
      </w:r>
      <w:proofErr w:type="spellEnd"/>
    </w:p>
    <w:p w14:paraId="17327863" w14:textId="77777777" w:rsidR="004E0BDD" w:rsidRP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 w:rsidRPr="004E0BDD">
        <w:rPr>
          <w:rFonts w:asciiTheme="minorHAnsi" w:hAnsiTheme="minorHAnsi" w:cstheme="minorBidi"/>
          <w:lang w:val="en-US"/>
        </w:rPr>
        <w:t>Novi Ligure (AL)</w:t>
      </w:r>
    </w:p>
    <w:p w14:paraId="0641391F" w14:textId="77777777" w:rsid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 w:rsidRPr="004E0BDD">
        <w:rPr>
          <w:rFonts w:asciiTheme="minorHAnsi" w:hAnsiTheme="minorHAnsi" w:cstheme="minorBidi"/>
          <w:lang w:val="en-US"/>
        </w:rPr>
        <w:t>18-19 settembre 2015</w:t>
      </w:r>
    </w:p>
    <w:p w14:paraId="0F3914DC" w14:textId="77777777" w:rsidR="004E0BDD" w:rsidRDefault="004E0BDD" w:rsidP="004E0BDD">
      <w:pPr>
        <w:pStyle w:val="Default"/>
        <w:spacing w:line="360" w:lineRule="auto"/>
        <w:rPr>
          <w:lang w:val="en-US"/>
        </w:rPr>
      </w:pPr>
    </w:p>
    <w:p w14:paraId="1BE1F10C" w14:textId="77777777" w:rsidR="004E0BDD" w:rsidRP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 xml:space="preserve">6° </w:t>
      </w:r>
      <w:proofErr w:type="spellStart"/>
      <w:r w:rsidRPr="004E0BDD">
        <w:rPr>
          <w:rFonts w:asciiTheme="minorHAnsi" w:hAnsiTheme="minorHAnsi" w:cstheme="minorBidi"/>
          <w:lang w:val="en-US"/>
        </w:rPr>
        <w:t>Congresso</w:t>
      </w:r>
      <w:proofErr w:type="spellEnd"/>
    </w:p>
    <w:p w14:paraId="45E92AE2" w14:textId="77777777" w:rsidR="004E0BDD" w:rsidRP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 w:rsidRPr="004E0BDD">
        <w:rPr>
          <w:rFonts w:asciiTheme="minorHAnsi" w:hAnsiTheme="minorHAnsi" w:cstheme="minorBidi"/>
          <w:lang w:val="en-US"/>
        </w:rPr>
        <w:lastRenderedPageBreak/>
        <w:t xml:space="preserve">Oncologia Geriatrica </w:t>
      </w:r>
      <w:proofErr w:type="spellStart"/>
      <w:r w:rsidRPr="004E0BDD">
        <w:rPr>
          <w:rFonts w:asciiTheme="minorHAnsi" w:hAnsiTheme="minorHAnsi" w:cstheme="minorBidi"/>
          <w:lang w:val="en-US"/>
        </w:rPr>
        <w:t>Salentina</w:t>
      </w:r>
      <w:proofErr w:type="spellEnd"/>
    </w:p>
    <w:p w14:paraId="1D1EEB8F" w14:textId="77777777" w:rsidR="004E0BDD" w:rsidRPr="004E0BDD" w:rsidRDefault="004E0BDD" w:rsidP="004E0BDD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 w:rsidRPr="004E0BDD">
        <w:rPr>
          <w:rFonts w:asciiTheme="minorHAnsi" w:hAnsiTheme="minorHAnsi" w:cstheme="minorBidi"/>
          <w:lang w:val="en-US"/>
        </w:rPr>
        <w:t>Aging with Cancer</w:t>
      </w:r>
    </w:p>
    <w:p w14:paraId="463F7D0E" w14:textId="77777777" w:rsidR="004E0BDD" w:rsidRDefault="004E0BDD" w:rsidP="008271A7">
      <w:pPr>
        <w:pStyle w:val="Pa0"/>
        <w:spacing w:line="360" w:lineRule="auto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 xml:space="preserve">Lecce </w:t>
      </w:r>
      <w:r w:rsidRPr="004E0BDD">
        <w:rPr>
          <w:rFonts w:asciiTheme="minorHAnsi" w:hAnsiTheme="minorHAnsi" w:cstheme="minorBidi"/>
          <w:lang w:val="en-US"/>
        </w:rPr>
        <w:t>8 -9 Maggio 2015</w:t>
      </w:r>
    </w:p>
    <w:p w14:paraId="69AE2CE8" w14:textId="77777777" w:rsidR="00210646" w:rsidRDefault="00210646" w:rsidP="00210646">
      <w:pPr>
        <w:pStyle w:val="Default"/>
      </w:pPr>
    </w:p>
    <w:p w14:paraId="59FDB22C" w14:textId="1727391F" w:rsidR="00210646" w:rsidRPr="00210646" w:rsidRDefault="00210646" w:rsidP="00210646">
      <w:pPr>
        <w:pStyle w:val="Default"/>
        <w:rPr>
          <w:i/>
          <w:u w:val="single"/>
        </w:rPr>
      </w:pPr>
      <w:r w:rsidRPr="00210646">
        <w:rPr>
          <w:i/>
          <w:u w:val="single"/>
        </w:rPr>
        <w:t>Publications 2015</w:t>
      </w:r>
      <w:bookmarkStart w:id="0" w:name="_GoBack"/>
      <w:bookmarkEnd w:id="0"/>
    </w:p>
    <w:p w14:paraId="0CAD4D18" w14:textId="77777777" w:rsidR="005B1CD8" w:rsidRDefault="005B1CD8" w:rsidP="005B1CD8">
      <w:pPr>
        <w:pStyle w:val="Default"/>
      </w:pPr>
    </w:p>
    <w:p w14:paraId="6F733E60" w14:textId="77777777" w:rsidR="005B1CD8" w:rsidRPr="00210646" w:rsidRDefault="00210646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hyperlink r:id="rId6" w:history="1">
        <w:r w:rsidR="005B1CD8" w:rsidRPr="00210646">
          <w:rPr>
            <w:rFonts w:asciiTheme="minorHAnsi" w:hAnsiTheme="minorHAnsi" w:cstheme="minorBidi"/>
            <w:i/>
            <w:sz w:val="20"/>
            <w:szCs w:val="20"/>
            <w:lang w:val="en-US"/>
          </w:rPr>
          <w:t>Estimating the risk of chemotherapy toxicity in older patients with cancer: The role of the Vulnerable Elders Survey-13 (VES-13).</w:t>
        </w:r>
      </w:hyperlink>
    </w:p>
    <w:p w14:paraId="332CCC9B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Luciani A,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Biganzoli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L, Colloca G, Falci C, Castagneto B,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Floriani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I, Battisti N, Dottorini L, Ferrari D,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Fiduccia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P, Zafarana E, Del Monte F, Galli F,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Monfardini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S,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Foa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P.</w:t>
      </w:r>
    </w:p>
    <w:p w14:paraId="58B22728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J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Geriatr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Oncol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. 2015 Jul</w:t>
      </w:r>
      <w:proofErr w:type="gram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;6</w:t>
      </w:r>
      <w:proofErr w:type="gram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(4):272-9. </w:t>
      </w:r>
      <w:proofErr w:type="spellStart"/>
      <w:proofErr w:type="gram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doi</w:t>
      </w:r>
      <w:proofErr w:type="spellEnd"/>
      <w:proofErr w:type="gram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: 10.1016/j.jgo.2015.02.005.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Epub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2015 Jun 15</w:t>
      </w:r>
    </w:p>
    <w:p w14:paraId="459502FF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</w:p>
    <w:p w14:paraId="00A0C5D6" w14:textId="77777777" w:rsidR="005B1CD8" w:rsidRPr="00210646" w:rsidRDefault="00210646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hyperlink r:id="rId7" w:history="1">
        <w:r w:rsidR="005B1CD8" w:rsidRPr="00210646">
          <w:rPr>
            <w:rFonts w:asciiTheme="minorHAnsi" w:hAnsiTheme="minorHAnsi" w:cstheme="minorBidi"/>
            <w:i/>
            <w:sz w:val="20"/>
            <w:szCs w:val="20"/>
            <w:lang w:val="en-US"/>
          </w:rPr>
          <w:t>[Cancer treatment in elderly patients: evidence and clinical research].</w:t>
        </w:r>
      </w:hyperlink>
    </w:p>
    <w:p w14:paraId="32D24403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Repetto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L, Luciani A.</w:t>
      </w:r>
    </w:p>
    <w:p w14:paraId="4787F371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Recenti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Prog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Med. 2015 Jan</w:t>
      </w:r>
      <w:proofErr w:type="gram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;106</w:t>
      </w:r>
      <w:proofErr w:type="gram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(1):23-7. </w:t>
      </w:r>
      <w:proofErr w:type="spellStart"/>
      <w:proofErr w:type="gram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doi</w:t>
      </w:r>
      <w:proofErr w:type="spellEnd"/>
      <w:proofErr w:type="gram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: 10.1701/1740.18952. Italian.</w:t>
      </w:r>
    </w:p>
    <w:p w14:paraId="45931EEA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</w:p>
    <w:p w14:paraId="3815C589" w14:textId="77777777" w:rsidR="005B1CD8" w:rsidRPr="00210646" w:rsidRDefault="00210646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hyperlink r:id="rId8" w:history="1">
        <w:r w:rsidR="005B1CD8" w:rsidRPr="00210646">
          <w:rPr>
            <w:rFonts w:asciiTheme="minorHAnsi" w:hAnsiTheme="minorHAnsi" w:cstheme="minorBidi"/>
            <w:i/>
            <w:sz w:val="20"/>
            <w:szCs w:val="20"/>
            <w:lang w:val="en-US"/>
          </w:rPr>
          <w:t>Adjuvant Systemic Therapy in Older Breast Cancer Women: Can We Optimize the Level of Care?</w:t>
        </w:r>
      </w:hyperlink>
    </w:p>
    <w:p w14:paraId="3647DA08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Mislang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AR,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Biganzoli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L.</w:t>
      </w:r>
    </w:p>
    <w:p w14:paraId="7D8446C2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proofErr w:type="gram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Cancers (Basel).</w:t>
      </w:r>
      <w:proofErr w:type="gram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2015 Jul 3</w:t>
      </w:r>
      <w:proofErr w:type="gram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;7</w:t>
      </w:r>
      <w:proofErr w:type="gram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(3):1191-214. </w:t>
      </w:r>
      <w:proofErr w:type="spellStart"/>
      <w:proofErr w:type="gram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doi</w:t>
      </w:r>
      <w:proofErr w:type="spellEnd"/>
      <w:proofErr w:type="gram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: 10.3390/cancers7030833. Review.</w:t>
      </w:r>
    </w:p>
    <w:p w14:paraId="569B8938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</w:p>
    <w:p w14:paraId="27EC1637" w14:textId="77777777" w:rsidR="005B1CD8" w:rsidRPr="00210646" w:rsidRDefault="00210646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hyperlink r:id="rId9" w:history="1">
        <w:r w:rsidR="005B1CD8" w:rsidRPr="00210646">
          <w:rPr>
            <w:rFonts w:asciiTheme="minorHAnsi" w:hAnsiTheme="minorHAnsi" w:cstheme="minorBidi"/>
            <w:i/>
            <w:sz w:val="20"/>
            <w:szCs w:val="20"/>
            <w:lang w:val="en-US"/>
          </w:rPr>
          <w:t>Treating cancer in older and oldest old patients.</w:t>
        </w:r>
      </w:hyperlink>
    </w:p>
    <w:p w14:paraId="271D12E6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Colloca G,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Corsonello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A, Marzetti E, Balducci L, Landi F,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Extermann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M, Scambia G, Cesari M,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Carreca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I, 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Monfardini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S, Bernabei R.</w:t>
      </w:r>
    </w:p>
    <w:p w14:paraId="216AD002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Curr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Pharm Des. 2015</w:t>
      </w:r>
      <w:proofErr w:type="gram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;21</w:t>
      </w:r>
      <w:proofErr w:type="gram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(13):1699-705</w:t>
      </w:r>
    </w:p>
    <w:p w14:paraId="19BA9706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</w:p>
    <w:p w14:paraId="264080CC" w14:textId="77777777" w:rsidR="005B1CD8" w:rsidRPr="00210646" w:rsidRDefault="00210646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hyperlink r:id="rId10" w:history="1">
        <w:proofErr w:type="gramStart"/>
        <w:r w:rsidR="005B1CD8" w:rsidRPr="00210646">
          <w:rPr>
            <w:rFonts w:asciiTheme="minorHAnsi" w:hAnsiTheme="minorHAnsi" w:cstheme="minorBidi"/>
            <w:i/>
            <w:sz w:val="20"/>
            <w:szCs w:val="20"/>
            <w:lang w:val="en-US"/>
          </w:rPr>
          <w:t>The Effects of Social Support on Health-Related Quality of Life of Patients with Metastatic Prostate Cancer.</w:t>
        </w:r>
        <w:proofErr w:type="gramEnd"/>
      </w:hyperlink>
    </w:p>
    <w:p w14:paraId="1399CDC1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Colloca G, Colloca P.</w:t>
      </w:r>
    </w:p>
    <w:p w14:paraId="0E772F12" w14:textId="77777777" w:rsidR="005B1CD8" w:rsidRPr="00210646" w:rsidRDefault="005B1CD8" w:rsidP="00210646">
      <w:pPr>
        <w:pStyle w:val="Pa0"/>
        <w:spacing w:line="360" w:lineRule="auto"/>
        <w:jc w:val="both"/>
        <w:rPr>
          <w:rFonts w:asciiTheme="minorHAnsi" w:hAnsiTheme="minorHAnsi" w:cstheme="minorBidi"/>
          <w:i/>
          <w:sz w:val="20"/>
          <w:szCs w:val="20"/>
          <w:lang w:val="en-US"/>
        </w:rPr>
      </w:pPr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J Cancer Educ. 2015 Jul 15. [</w:t>
      </w:r>
      <w:proofErr w:type="spellStart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>Epub</w:t>
      </w:r>
      <w:proofErr w:type="spellEnd"/>
      <w:r w:rsidRPr="00210646">
        <w:rPr>
          <w:rFonts w:asciiTheme="minorHAnsi" w:hAnsiTheme="minorHAnsi" w:cstheme="minorBidi"/>
          <w:i/>
          <w:sz w:val="20"/>
          <w:szCs w:val="20"/>
          <w:lang w:val="en-US"/>
        </w:rPr>
        <w:t xml:space="preserve"> ahead of print]</w:t>
      </w:r>
    </w:p>
    <w:sectPr w:rsidR="005B1CD8" w:rsidRPr="00210646" w:rsidSect="004C76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cmed Ostrich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1C8"/>
    <w:multiLevelType w:val="hybridMultilevel"/>
    <w:tmpl w:val="DB26E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57"/>
    <w:rsid w:val="00210646"/>
    <w:rsid w:val="002B6440"/>
    <w:rsid w:val="00463757"/>
    <w:rsid w:val="004C7617"/>
    <w:rsid w:val="004E0BDD"/>
    <w:rsid w:val="005B1CD8"/>
    <w:rsid w:val="008271A7"/>
    <w:rsid w:val="00D0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B6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0BDD"/>
    <w:pPr>
      <w:widowControl w:val="0"/>
      <w:autoSpaceDE w:val="0"/>
      <w:autoSpaceDN w:val="0"/>
      <w:adjustRightInd w:val="0"/>
    </w:pPr>
    <w:rPr>
      <w:rFonts w:ascii="Accmed Ostrich Sans" w:hAnsi="Accmed Ostrich Sans" w:cs="Accmed Ostrich Sans"/>
      <w:color w:val="000000"/>
    </w:rPr>
  </w:style>
  <w:style w:type="paragraph" w:customStyle="1" w:styleId="Pa0">
    <w:name w:val="Pa0"/>
    <w:basedOn w:val="Default"/>
    <w:next w:val="Default"/>
    <w:uiPriority w:val="99"/>
    <w:rsid w:val="004E0BDD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4E0BDD"/>
    <w:rPr>
      <w:rFonts w:cs="Accmed Ostrich Sans"/>
      <w:b/>
      <w:bCs/>
      <w:color w:val="000000"/>
      <w:sz w:val="64"/>
      <w:szCs w:val="64"/>
    </w:rPr>
  </w:style>
  <w:style w:type="character" w:customStyle="1" w:styleId="A0">
    <w:name w:val="A0"/>
    <w:uiPriority w:val="99"/>
    <w:rsid w:val="004E0BDD"/>
    <w:rPr>
      <w:rFonts w:cs="Accmed Ostrich Sans"/>
      <w:b/>
      <w:bCs/>
      <w:color w:val="00000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B1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0BDD"/>
    <w:pPr>
      <w:widowControl w:val="0"/>
      <w:autoSpaceDE w:val="0"/>
      <w:autoSpaceDN w:val="0"/>
      <w:adjustRightInd w:val="0"/>
    </w:pPr>
    <w:rPr>
      <w:rFonts w:ascii="Accmed Ostrich Sans" w:hAnsi="Accmed Ostrich Sans" w:cs="Accmed Ostrich Sans"/>
      <w:color w:val="000000"/>
    </w:rPr>
  </w:style>
  <w:style w:type="paragraph" w:customStyle="1" w:styleId="Pa0">
    <w:name w:val="Pa0"/>
    <w:basedOn w:val="Default"/>
    <w:next w:val="Default"/>
    <w:uiPriority w:val="99"/>
    <w:rsid w:val="004E0BDD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4E0BDD"/>
    <w:rPr>
      <w:rFonts w:cs="Accmed Ostrich Sans"/>
      <w:b/>
      <w:bCs/>
      <w:color w:val="000000"/>
      <w:sz w:val="64"/>
      <w:szCs w:val="64"/>
    </w:rPr>
  </w:style>
  <w:style w:type="character" w:customStyle="1" w:styleId="A0">
    <w:name w:val="A0"/>
    <w:uiPriority w:val="99"/>
    <w:rsid w:val="004E0BDD"/>
    <w:rPr>
      <w:rFonts w:cs="Accmed Ostrich Sans"/>
      <w:b/>
      <w:bCs/>
      <w:color w:val="00000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B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26088748" TargetMode="External"/><Relationship Id="rId7" Type="http://schemas.openxmlformats.org/officeDocument/2006/relationships/hyperlink" Target="http://www.ncbi.nlm.nih.gov/pubmed/25621776" TargetMode="External"/><Relationship Id="rId8" Type="http://schemas.openxmlformats.org/officeDocument/2006/relationships/hyperlink" Target="http://www.ncbi.nlm.nih.gov/pubmed/26151681" TargetMode="External"/><Relationship Id="rId9" Type="http://schemas.openxmlformats.org/officeDocument/2006/relationships/hyperlink" Target="http://www.ncbi.nlm.nih.gov/pubmed/25633116" TargetMode="External"/><Relationship Id="rId10" Type="http://schemas.openxmlformats.org/officeDocument/2006/relationships/hyperlink" Target="http://www.ncbi.nlm.nih.gov/pubmed/261741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Luciani</dc:creator>
  <cp:keywords/>
  <dc:description/>
  <cp:lastModifiedBy>Andrea Luciani</cp:lastModifiedBy>
  <cp:revision>3</cp:revision>
  <dcterms:created xsi:type="dcterms:W3CDTF">2015-09-02T14:26:00Z</dcterms:created>
  <dcterms:modified xsi:type="dcterms:W3CDTF">2015-09-02T21:32:00Z</dcterms:modified>
</cp:coreProperties>
</file>